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F783" w14:textId="77777777" w:rsidR="00C101DD" w:rsidRPr="00D8586C" w:rsidRDefault="00C101DD" w:rsidP="00C101DD">
      <w:pPr>
        <w:spacing w:line="360" w:lineRule="auto"/>
        <w:rPr>
          <w:rFonts w:asciiTheme="minorHAnsi" w:hAnsiTheme="minorHAnsi"/>
          <w:sz w:val="16"/>
          <w:szCs w:val="16"/>
        </w:rPr>
      </w:pPr>
    </w:p>
    <w:p w14:paraId="0C431BE8" w14:textId="77777777" w:rsidR="00C101DD" w:rsidRPr="00C157F1" w:rsidRDefault="00C101DD" w:rsidP="00C101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00"/>
        <w:spacing w:line="360" w:lineRule="auto"/>
        <w:jc w:val="center"/>
        <w:rPr>
          <w:rFonts w:asciiTheme="minorHAnsi" w:hAnsiTheme="minorHAnsi"/>
          <w:b/>
          <w:color w:val="FFFFFF" w:themeColor="background1"/>
          <w:sz w:val="32"/>
        </w:rPr>
      </w:pPr>
      <w:r w:rsidRPr="00C157F1">
        <w:rPr>
          <w:rFonts w:asciiTheme="minorHAnsi" w:hAnsiTheme="minorHAnsi"/>
          <w:b/>
          <w:color w:val="FFFFFF" w:themeColor="background1"/>
          <w:sz w:val="32"/>
        </w:rPr>
        <w:t>Protocole de réhabilit</w:t>
      </w:r>
      <w:r>
        <w:rPr>
          <w:rFonts w:asciiTheme="minorHAnsi" w:hAnsiTheme="minorHAnsi"/>
          <w:b/>
          <w:color w:val="FFFFFF" w:themeColor="background1"/>
          <w:sz w:val="32"/>
        </w:rPr>
        <w:t xml:space="preserve">ation améliorée après </w:t>
      </w:r>
      <w:r w:rsidR="00276A45">
        <w:rPr>
          <w:rFonts w:asciiTheme="minorHAnsi" w:hAnsiTheme="minorHAnsi"/>
          <w:b/>
          <w:color w:val="FFFFFF" w:themeColor="background1"/>
          <w:sz w:val="32"/>
        </w:rPr>
        <w:t>chirurgie carcinologique ORL</w:t>
      </w:r>
    </w:p>
    <w:p w14:paraId="0592596B" w14:textId="77777777" w:rsidR="00C101DD" w:rsidRPr="00D8586C" w:rsidRDefault="00C101DD" w:rsidP="00C101DD">
      <w:pPr>
        <w:spacing w:line="360" w:lineRule="auto"/>
        <w:jc w:val="both"/>
        <w:rPr>
          <w:rFonts w:asciiTheme="minorHAnsi" w:hAnsiTheme="minorHAnsi"/>
        </w:rPr>
      </w:pPr>
    </w:p>
    <w:p w14:paraId="5A7D11F2" w14:textId="77777777" w:rsidR="00D23560" w:rsidRPr="009F3D8A" w:rsidRDefault="00ED4B8A" w:rsidP="00ED4B8A">
      <w:pPr>
        <w:spacing w:line="360" w:lineRule="auto"/>
        <w:jc w:val="both"/>
        <w:rPr>
          <w:rFonts w:asciiTheme="minorHAnsi" w:hAnsiTheme="minorHAnsi"/>
          <w:lang w:val="en-US"/>
        </w:rPr>
      </w:pPr>
      <w:r w:rsidRPr="00B33D2A">
        <w:rPr>
          <w:rFonts w:asciiTheme="minorHAnsi" w:hAnsiTheme="minorHAnsi"/>
        </w:rPr>
        <w:t xml:space="preserve">Les éléments communs à tout protocole de RAC sont détaillés dans le fichier « Socle </w:t>
      </w:r>
      <w:r w:rsidR="00276A45">
        <w:rPr>
          <w:rFonts w:asciiTheme="minorHAnsi" w:hAnsiTheme="minorHAnsi"/>
        </w:rPr>
        <w:t>commun ». Le protocole ci-après</w:t>
      </w:r>
      <w:r w:rsidRPr="00B33D2A">
        <w:rPr>
          <w:rFonts w:asciiTheme="minorHAnsi" w:hAnsiTheme="minorHAnsi"/>
        </w:rPr>
        <w:t xml:space="preserve"> concerne uniquem</w:t>
      </w:r>
      <w:r w:rsidR="00276A45">
        <w:rPr>
          <w:rFonts w:asciiTheme="minorHAnsi" w:hAnsiTheme="minorHAnsi"/>
        </w:rPr>
        <w:t>ent les éléments spécifiques et</w:t>
      </w:r>
      <w:r w:rsidRPr="00B33D2A">
        <w:rPr>
          <w:rFonts w:asciiTheme="minorHAnsi" w:hAnsiTheme="minorHAnsi"/>
        </w:rPr>
        <w:t xml:space="preserve"> est issu des recommandations internationales</w:t>
      </w:r>
      <w:r w:rsidR="00276A45">
        <w:rPr>
          <w:rFonts w:asciiTheme="minorHAnsi" w:hAnsiTheme="minorHAnsi"/>
        </w:rPr>
        <w:t>.</w:t>
      </w:r>
      <w:r w:rsidRPr="00B33D2A">
        <w:rPr>
          <w:rFonts w:asciiTheme="minorHAnsi" w:hAnsiTheme="minorHAnsi"/>
        </w:rPr>
        <w:t xml:space="preserve"> Les éléments du protocole doivent être adaptés à chaque situation pratique, appliqués dans chaque centre après consensus au sein de l’équipe de soins en chirurgie réglée. La liste des éléments à mettre en œuvre n’est ni limitative ni figée. Le protocole ci-après est issu des recommandations internati</w:t>
      </w:r>
      <w:r w:rsidR="00276A45">
        <w:rPr>
          <w:rFonts w:asciiTheme="minorHAnsi" w:hAnsiTheme="minorHAnsi"/>
        </w:rPr>
        <w:t>onales.</w:t>
      </w:r>
    </w:p>
    <w:p w14:paraId="0B2653F9" w14:textId="77777777" w:rsidR="00C101DD" w:rsidRPr="009F3D8A" w:rsidRDefault="00C101DD" w:rsidP="00D23560">
      <w:pPr>
        <w:spacing w:line="360" w:lineRule="auto"/>
        <w:jc w:val="both"/>
        <w:rPr>
          <w:rFonts w:asciiTheme="minorHAnsi" w:hAnsiTheme="minorHAnsi"/>
          <w:lang w:val="en-US"/>
        </w:rPr>
      </w:pPr>
    </w:p>
    <w:p w14:paraId="58702FE0" w14:textId="77777777" w:rsidR="00C101DD" w:rsidRPr="00D23560" w:rsidRDefault="00C101DD" w:rsidP="009F3D8A">
      <w:pPr>
        <w:pStyle w:val="En-tte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b/>
          <w:bCs/>
          <w:i/>
          <w:sz w:val="28"/>
          <w:szCs w:val="22"/>
          <w:u w:val="single"/>
        </w:rPr>
      </w:pPr>
      <w:r w:rsidRPr="00D23560">
        <w:rPr>
          <w:rFonts w:asciiTheme="minorHAnsi" w:hAnsiTheme="minorHAnsi" w:cs="Arial"/>
          <w:b/>
          <w:bCs/>
          <w:i/>
          <w:sz w:val="28"/>
          <w:szCs w:val="22"/>
          <w:u w:val="single"/>
        </w:rPr>
        <w:t>Période pré opératoire</w:t>
      </w:r>
    </w:p>
    <w:p w14:paraId="62E99BF5" w14:textId="77777777" w:rsidR="00276A45" w:rsidRPr="00276A45" w:rsidRDefault="00276A45" w:rsidP="00071E7C">
      <w:pPr>
        <w:pStyle w:val="En-tte"/>
        <w:spacing w:line="360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276A45">
        <w:rPr>
          <w:rFonts w:ascii="Calibri" w:hAnsi="Calibri" w:cs="Arial"/>
          <w:b/>
          <w:bCs/>
          <w:iCs/>
          <w:sz w:val="22"/>
          <w:szCs w:val="22"/>
        </w:rPr>
        <w:t>- Informations au patient :</w:t>
      </w:r>
    </w:p>
    <w:p w14:paraId="37110250" w14:textId="77777777" w:rsidR="00276A45" w:rsidRDefault="00276A45" w:rsidP="00071E7C">
      <w:pPr>
        <w:pStyle w:val="En-tte"/>
        <w:spacing w:line="360" w:lineRule="auto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Vidéo d’information sur la chirurgie et les suites post-opératoires </w:t>
      </w:r>
    </w:p>
    <w:p w14:paraId="229277A7" w14:textId="77777777" w:rsidR="00276A45" w:rsidRDefault="00000000" w:rsidP="00276A45">
      <w:pPr>
        <w:ind w:left="360"/>
      </w:pPr>
      <w:hyperlink r:id="rId7" w:history="1">
        <w:r w:rsidR="00276A45">
          <w:rPr>
            <w:rStyle w:val="Lienhypertexte"/>
          </w:rPr>
          <w:t>Comprendre la laryngectomie</w:t>
        </w:r>
      </w:hyperlink>
    </w:p>
    <w:p w14:paraId="68050B2C" w14:textId="77777777" w:rsidR="004F6DB6" w:rsidRDefault="004F6DB6" w:rsidP="00071E7C">
      <w:pPr>
        <w:pStyle w:val="En-tte"/>
        <w:spacing w:line="360" w:lineRule="auto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Remise d’un carnet de bord et des ordonnances post-opératoires</w:t>
      </w:r>
    </w:p>
    <w:p w14:paraId="248A7818" w14:textId="77777777" w:rsidR="00276A45" w:rsidRDefault="004F6DB6" w:rsidP="00071E7C">
      <w:pPr>
        <w:pStyle w:val="En-tte"/>
        <w:spacing w:line="360" w:lineRule="auto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Intérêt du sevrage </w:t>
      </w:r>
      <w:proofErr w:type="spellStart"/>
      <w:r>
        <w:rPr>
          <w:rFonts w:ascii="Calibri" w:hAnsi="Calibri" w:cs="Arial"/>
          <w:bCs/>
          <w:iCs/>
          <w:sz w:val="22"/>
          <w:szCs w:val="22"/>
        </w:rPr>
        <w:t>ethylo</w:t>
      </w:r>
      <w:proofErr w:type="spellEnd"/>
      <w:r>
        <w:rPr>
          <w:rFonts w:ascii="Calibri" w:hAnsi="Calibri" w:cs="Arial"/>
          <w:bCs/>
          <w:iCs/>
          <w:sz w:val="22"/>
          <w:szCs w:val="22"/>
        </w:rPr>
        <w:t xml:space="preserve"> tabagique </w:t>
      </w:r>
    </w:p>
    <w:p w14:paraId="6F2DF3C7" w14:textId="77777777" w:rsidR="004F6DB6" w:rsidRPr="00276A45" w:rsidRDefault="004F6DB6" w:rsidP="00071E7C">
      <w:pPr>
        <w:pStyle w:val="En-tte"/>
        <w:spacing w:line="360" w:lineRule="auto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0EE08EF" w14:textId="77777777" w:rsidR="00071E7C" w:rsidRDefault="00071E7C" w:rsidP="00071E7C">
      <w:pPr>
        <w:pStyle w:val="En-tte"/>
        <w:spacing w:line="360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 xml:space="preserve">- </w:t>
      </w:r>
      <w:proofErr w:type="spellStart"/>
      <w:r>
        <w:rPr>
          <w:rFonts w:ascii="Calibri" w:hAnsi="Calibri" w:cs="Arial"/>
          <w:b/>
          <w:bCs/>
          <w:iCs/>
          <w:sz w:val="22"/>
          <w:szCs w:val="22"/>
        </w:rPr>
        <w:t>Préhabilitation</w:t>
      </w:r>
      <w:proofErr w:type="spellEnd"/>
      <w:r>
        <w:rPr>
          <w:rFonts w:ascii="Calibri" w:hAnsi="Calibri" w:cs="Arial"/>
          <w:b/>
          <w:bCs/>
          <w:iCs/>
          <w:sz w:val="22"/>
          <w:szCs w:val="22"/>
        </w:rPr>
        <w:t> :</w:t>
      </w:r>
    </w:p>
    <w:p w14:paraId="56D9AB8A" w14:textId="77777777" w:rsidR="00276A45" w:rsidRPr="00276A45" w:rsidRDefault="00276A45" w:rsidP="000361F7">
      <w:pPr>
        <w:spacing w:line="360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Hospitalisation en addictologie en cas de difficultés de sevrage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ethylo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-tabagique et en gérontologie chez le patient âgé éligible </w:t>
      </w:r>
      <w:r w:rsidR="004F6DB6">
        <w:rPr>
          <w:rFonts w:ascii="Calibri" w:hAnsi="Calibri"/>
          <w:color w:val="000000"/>
          <w:sz w:val="22"/>
          <w:szCs w:val="22"/>
          <w:shd w:val="clear" w:color="auto" w:fill="FFFFFF"/>
        </w:rPr>
        <w:t>(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selon critères </w:t>
      </w:r>
      <w:r w:rsidR="004F6DB6">
        <w:rPr>
          <w:rFonts w:ascii="Calibri" w:hAnsi="Calibri"/>
          <w:color w:val="000000"/>
          <w:sz w:val="22"/>
          <w:szCs w:val="22"/>
          <w:shd w:val="clear" w:color="auto" w:fill="FFFFFF"/>
        </w:rPr>
        <w:t>établis conjointement par les gériatres et les chirurgiens ORL)</w:t>
      </w:r>
    </w:p>
    <w:p w14:paraId="7796AA7E" w14:textId="77777777" w:rsidR="00276A45" w:rsidRDefault="00276A45" w:rsidP="000361F7">
      <w:pPr>
        <w:spacing w:line="360" w:lineRule="auto"/>
        <w:rPr>
          <w:rFonts w:ascii="Calibri" w:hAnsi="Calibri"/>
          <w:b/>
          <w:color w:val="000000"/>
          <w:sz w:val="22"/>
          <w:szCs w:val="22"/>
          <w:shd w:val="clear" w:color="auto" w:fill="FFFFFF"/>
        </w:rPr>
      </w:pPr>
    </w:p>
    <w:p w14:paraId="6A178A0C" w14:textId="77777777" w:rsidR="000361F7" w:rsidRDefault="000361F7" w:rsidP="000361F7">
      <w:pPr>
        <w:spacing w:line="360" w:lineRule="auto"/>
        <w:rPr>
          <w:rFonts w:asciiTheme="minorHAnsi" w:hAnsiTheme="minorHAnsi"/>
          <w:sz w:val="22"/>
          <w:szCs w:val="22"/>
        </w:rPr>
      </w:pPr>
      <w:r w:rsidRPr="004812AC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- Prise en charge nutritionnelle</w:t>
      </w:r>
    </w:p>
    <w:p w14:paraId="2417EC51" w14:textId="77777777" w:rsidR="004B0933" w:rsidRDefault="000361F7" w:rsidP="000361F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Selon les recommandations en vigueur : </w:t>
      </w:r>
      <w:proofErr w:type="spellStart"/>
      <w:r w:rsidR="0063362D">
        <w:rPr>
          <w:rFonts w:asciiTheme="minorHAnsi" w:hAnsiTheme="minorHAnsi"/>
          <w:sz w:val="22"/>
          <w:szCs w:val="22"/>
        </w:rPr>
        <w:t>immunonutrition</w:t>
      </w:r>
      <w:proofErr w:type="spellEnd"/>
      <w:r w:rsidR="0063362D">
        <w:rPr>
          <w:rFonts w:asciiTheme="minorHAnsi" w:hAnsiTheme="minorHAnsi"/>
          <w:sz w:val="22"/>
          <w:szCs w:val="22"/>
        </w:rPr>
        <w:t xml:space="preserve"> préopératoires et/ou nutrition (de préférence orales ou entérales)</w:t>
      </w:r>
      <w:r>
        <w:rPr>
          <w:rFonts w:asciiTheme="minorHAnsi" w:hAnsiTheme="minorHAnsi"/>
          <w:sz w:val="22"/>
          <w:szCs w:val="22"/>
        </w:rPr>
        <w:t xml:space="preserve"> en cas d’affection cancéreuse et/ou de </w:t>
      </w:r>
      <w:r w:rsidR="008E1182">
        <w:rPr>
          <w:rFonts w:asciiTheme="minorHAnsi" w:hAnsiTheme="minorHAnsi"/>
          <w:sz w:val="22"/>
          <w:szCs w:val="22"/>
        </w:rPr>
        <w:t>dénutrition</w:t>
      </w:r>
      <w:r w:rsidR="001902E4">
        <w:rPr>
          <w:rFonts w:asciiTheme="minorHAnsi" w:hAnsiTheme="minorHAnsi"/>
          <w:sz w:val="22"/>
          <w:szCs w:val="22"/>
        </w:rPr>
        <w:t xml:space="preserve"> (amaigrissement &gt;10-15% dans les 6 derniers mois, IMC &lt;18,5kg/m</w:t>
      </w:r>
      <w:r w:rsidR="001902E4" w:rsidRPr="00ED4B8A">
        <w:rPr>
          <w:rFonts w:asciiTheme="minorHAnsi" w:hAnsiTheme="minorHAnsi"/>
          <w:sz w:val="22"/>
          <w:szCs w:val="22"/>
          <w:vertAlign w:val="superscript"/>
        </w:rPr>
        <w:t>2</w:t>
      </w:r>
      <w:r w:rsidR="001902E4">
        <w:rPr>
          <w:rFonts w:asciiTheme="minorHAnsi" w:hAnsiTheme="minorHAnsi"/>
          <w:sz w:val="22"/>
          <w:szCs w:val="22"/>
        </w:rPr>
        <w:t>, Albuminém</w:t>
      </w:r>
      <w:r w:rsidR="008E1182">
        <w:rPr>
          <w:rFonts w:asciiTheme="minorHAnsi" w:hAnsiTheme="minorHAnsi"/>
          <w:sz w:val="22"/>
          <w:szCs w:val="22"/>
        </w:rPr>
        <w:t>ie</w:t>
      </w:r>
      <w:r w:rsidR="001902E4">
        <w:rPr>
          <w:rFonts w:asciiTheme="minorHAnsi" w:hAnsiTheme="minorHAnsi"/>
          <w:sz w:val="22"/>
          <w:szCs w:val="22"/>
        </w:rPr>
        <w:t xml:space="preserve"> &lt;30g/l)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44D19FDD" w14:textId="77777777" w:rsidR="004F6DB6" w:rsidRDefault="004F6DB6" w:rsidP="000361F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8EEC338" w14:textId="77777777" w:rsidR="000361F7" w:rsidRPr="00D8586C" w:rsidRDefault="000361F7" w:rsidP="000361F7">
      <w:pPr>
        <w:pStyle w:val="En-tte"/>
        <w:spacing w:line="360" w:lineRule="auto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- Jeûne préopératoire </w:t>
      </w:r>
      <w:r w:rsidR="008E1182">
        <w:rPr>
          <w:rFonts w:ascii="Calibri" w:hAnsi="Calibri" w:cs="Arial"/>
          <w:b/>
          <w:bCs/>
          <w:iCs/>
          <w:sz w:val="22"/>
          <w:szCs w:val="22"/>
        </w:rPr>
        <w:t>et a</w:t>
      </w:r>
      <w:r w:rsidR="008E1182" w:rsidRPr="00D8586C">
        <w:rPr>
          <w:rFonts w:asciiTheme="minorHAnsi" w:hAnsiTheme="minorHAnsi" w:cs="Arial"/>
          <w:b/>
          <w:bCs/>
          <w:iCs/>
          <w:sz w:val="22"/>
          <w:szCs w:val="22"/>
        </w:rPr>
        <w:t>pport de sol</w:t>
      </w:r>
      <w:r w:rsidR="008E1182">
        <w:rPr>
          <w:rFonts w:asciiTheme="minorHAnsi" w:hAnsiTheme="minorHAnsi" w:cs="Arial"/>
          <w:b/>
          <w:bCs/>
          <w:iCs/>
          <w:sz w:val="22"/>
          <w:szCs w:val="22"/>
        </w:rPr>
        <w:t xml:space="preserve">utions (d’hydrates de carbone) sucrées orales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: </w:t>
      </w:r>
    </w:p>
    <w:p w14:paraId="3AC3FE55" w14:textId="77777777" w:rsidR="008E1182" w:rsidRDefault="00EF18A4" w:rsidP="000361F7">
      <w:pPr>
        <w:pStyle w:val="En-t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Aussi bien les règles du jeûne préopératoire que celles de l’apport d’hydrates de carbone doivent tenir compte et être adaptés à </w:t>
      </w:r>
      <w:r w:rsidR="004F6DB6">
        <w:rPr>
          <w:rFonts w:asciiTheme="minorHAnsi" w:hAnsiTheme="minorHAnsi" w:cs="Arial"/>
          <w:sz w:val="22"/>
          <w:szCs w:val="22"/>
        </w:rPr>
        <w:t xml:space="preserve">la fréquente dysphagie liée au processus carcinologique </w:t>
      </w:r>
      <w:r w:rsidR="003448AD">
        <w:rPr>
          <w:rFonts w:asciiTheme="minorHAnsi" w:hAnsiTheme="minorHAnsi" w:cs="Arial"/>
          <w:sz w:val="22"/>
          <w:szCs w:val="22"/>
        </w:rPr>
        <w:t xml:space="preserve">de la sphère ORL. </w:t>
      </w:r>
    </w:p>
    <w:p w14:paraId="0C00C532" w14:textId="77777777" w:rsidR="003448AD" w:rsidRDefault="003448AD" w:rsidP="000361F7">
      <w:pPr>
        <w:pStyle w:val="En-t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499B920" w14:textId="77777777" w:rsidR="003448AD" w:rsidRPr="003448AD" w:rsidRDefault="003448AD" w:rsidP="003448AD">
      <w:pPr>
        <w:pStyle w:val="En-tte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3448AD">
        <w:rPr>
          <w:rFonts w:asciiTheme="minorHAnsi" w:hAnsiTheme="minorHAnsi" w:cs="Arial"/>
          <w:b/>
          <w:sz w:val="22"/>
          <w:szCs w:val="22"/>
        </w:rPr>
        <w:lastRenderedPageBreak/>
        <w:t xml:space="preserve">- </w:t>
      </w:r>
      <w:proofErr w:type="spellStart"/>
      <w:r w:rsidRPr="003448AD">
        <w:rPr>
          <w:rFonts w:asciiTheme="minorHAnsi" w:hAnsiTheme="minorHAnsi" w:cs="Arial"/>
          <w:b/>
          <w:sz w:val="22"/>
          <w:szCs w:val="22"/>
        </w:rPr>
        <w:t>Depistage</w:t>
      </w:r>
      <w:proofErr w:type="spellEnd"/>
      <w:r w:rsidRPr="003448AD">
        <w:rPr>
          <w:rFonts w:asciiTheme="minorHAnsi" w:hAnsiTheme="minorHAnsi" w:cs="Arial"/>
          <w:b/>
          <w:sz w:val="22"/>
          <w:szCs w:val="22"/>
        </w:rPr>
        <w:t xml:space="preserve"> de l’anémie </w:t>
      </w:r>
      <w:proofErr w:type="spellStart"/>
      <w:r w:rsidRPr="003448AD">
        <w:rPr>
          <w:rFonts w:asciiTheme="minorHAnsi" w:hAnsiTheme="minorHAnsi" w:cs="Arial"/>
          <w:b/>
          <w:sz w:val="22"/>
          <w:szCs w:val="22"/>
        </w:rPr>
        <w:t>pré-opératoire</w:t>
      </w:r>
      <w:proofErr w:type="spellEnd"/>
    </w:p>
    <w:p w14:paraId="685FCFAC" w14:textId="3D113099" w:rsidR="003448AD" w:rsidRDefault="009F134B" w:rsidP="003448AD">
      <w:pPr>
        <w:pStyle w:val="En-t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Objectif</w:t>
      </w:r>
      <w:r w:rsidR="004A1AED">
        <w:rPr>
          <w:rFonts w:asciiTheme="minorHAnsi" w:hAnsiTheme="minorHAnsi" w:cs="Arial"/>
          <w:sz w:val="22"/>
          <w:szCs w:val="22"/>
        </w:rPr>
        <w:t xml:space="preserve"> : hémoglobine </w:t>
      </w:r>
      <w:r>
        <w:rPr>
          <w:rFonts w:asciiTheme="minorHAnsi" w:hAnsiTheme="minorHAnsi" w:cs="Arial"/>
          <w:sz w:val="22"/>
          <w:szCs w:val="22"/>
        </w:rPr>
        <w:t>supérieur</w:t>
      </w:r>
      <w:r w:rsidR="004A1AED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 à 12</w:t>
      </w:r>
      <w:r w:rsidR="003448AD">
        <w:rPr>
          <w:rFonts w:asciiTheme="minorHAnsi" w:hAnsiTheme="minorHAnsi" w:cs="Arial"/>
          <w:sz w:val="22"/>
          <w:szCs w:val="22"/>
        </w:rPr>
        <w:t>g/</w:t>
      </w:r>
      <w:proofErr w:type="spellStart"/>
      <w:r w:rsidR="003448AD">
        <w:rPr>
          <w:rFonts w:asciiTheme="minorHAnsi" w:hAnsiTheme="minorHAnsi" w:cs="Arial"/>
          <w:sz w:val="22"/>
          <w:szCs w:val="22"/>
        </w:rPr>
        <w:t>dL</w:t>
      </w:r>
      <w:proofErr w:type="spellEnd"/>
    </w:p>
    <w:p w14:paraId="3EAEEB87" w14:textId="77777777" w:rsidR="003448AD" w:rsidRPr="003448AD" w:rsidRDefault="003448AD" w:rsidP="003448AD">
      <w:pPr>
        <w:pStyle w:val="En-t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78E5F0D" w14:textId="77777777" w:rsidR="003448AD" w:rsidRDefault="003448AD" w:rsidP="003448AD">
      <w:pPr>
        <w:pStyle w:val="En-tte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3448AD">
        <w:rPr>
          <w:rFonts w:asciiTheme="minorHAnsi" w:hAnsiTheme="minorHAnsi" w:cs="Arial"/>
          <w:b/>
          <w:sz w:val="22"/>
          <w:szCs w:val="22"/>
        </w:rPr>
        <w:t>-</w:t>
      </w:r>
      <w:r>
        <w:rPr>
          <w:rFonts w:asciiTheme="minorHAnsi" w:hAnsiTheme="minorHAnsi" w:cs="Arial"/>
          <w:b/>
          <w:sz w:val="22"/>
          <w:szCs w:val="22"/>
        </w:rPr>
        <w:t xml:space="preserve"> Préparation buccale / aérosols</w:t>
      </w:r>
    </w:p>
    <w:p w14:paraId="0BE15ABB" w14:textId="77777777" w:rsidR="003448AD" w:rsidRPr="003448AD" w:rsidRDefault="003448AD" w:rsidP="003448AD">
      <w:pPr>
        <w:pStyle w:val="En-t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Préparation des VADS par bains de bouche antiseptiques et aérosols au sérum physiologique dans l’heure qui précède le transfert au bloc opératoire.</w:t>
      </w:r>
    </w:p>
    <w:p w14:paraId="5F6265B7" w14:textId="77777777" w:rsidR="00D23560" w:rsidRDefault="00D23560" w:rsidP="00C101DD">
      <w:pPr>
        <w:pStyle w:val="En-tte"/>
        <w:spacing w:line="360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14:paraId="5CE4F6A5" w14:textId="77777777" w:rsidR="00ED4B8A" w:rsidRPr="00D23560" w:rsidRDefault="00ED4B8A" w:rsidP="00ED4B8A">
      <w:pPr>
        <w:pStyle w:val="En-tte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b/>
          <w:bCs/>
          <w:i/>
          <w:sz w:val="28"/>
          <w:szCs w:val="22"/>
          <w:u w:val="single"/>
        </w:rPr>
      </w:pPr>
      <w:r>
        <w:rPr>
          <w:rFonts w:asciiTheme="minorHAnsi" w:hAnsiTheme="minorHAnsi" w:cs="Arial"/>
          <w:b/>
          <w:bCs/>
          <w:i/>
          <w:sz w:val="28"/>
          <w:szCs w:val="22"/>
          <w:u w:val="single"/>
        </w:rPr>
        <w:t>Période per</w:t>
      </w:r>
      <w:r w:rsidRPr="00D23560">
        <w:rPr>
          <w:rFonts w:asciiTheme="minorHAnsi" w:hAnsiTheme="minorHAnsi" w:cs="Arial"/>
          <w:b/>
          <w:bCs/>
          <w:i/>
          <w:sz w:val="28"/>
          <w:szCs w:val="22"/>
          <w:u w:val="single"/>
        </w:rPr>
        <w:t xml:space="preserve"> opératoire</w:t>
      </w:r>
    </w:p>
    <w:p w14:paraId="56D6F7A0" w14:textId="77777777" w:rsidR="00D17F18" w:rsidRDefault="00C101DD" w:rsidP="00B03DF5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8586C">
        <w:rPr>
          <w:rFonts w:asciiTheme="minorHAnsi" w:hAnsiTheme="minorHAnsi" w:cs="Arial"/>
          <w:b/>
          <w:sz w:val="22"/>
          <w:szCs w:val="22"/>
        </w:rPr>
        <w:t xml:space="preserve">- </w:t>
      </w:r>
      <w:r w:rsidR="00B03DF5">
        <w:rPr>
          <w:rFonts w:asciiTheme="minorHAnsi" w:hAnsiTheme="minorHAnsi" w:cs="Arial"/>
          <w:b/>
          <w:sz w:val="22"/>
          <w:szCs w:val="22"/>
        </w:rPr>
        <w:t xml:space="preserve">Protocole anesthésique </w:t>
      </w:r>
    </w:p>
    <w:p w14:paraId="0FE68D3E" w14:textId="77777777" w:rsidR="00B03DF5" w:rsidRPr="00B03DF5" w:rsidRDefault="00B03DF5" w:rsidP="00B03DF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03DF5">
        <w:rPr>
          <w:rFonts w:asciiTheme="minorHAnsi" w:hAnsiTheme="minorHAnsi" w:cs="Arial"/>
          <w:sz w:val="22"/>
          <w:szCs w:val="22"/>
        </w:rPr>
        <w:t xml:space="preserve">Selon le principe de l’épargne morphinique (protocole OFA </w:t>
      </w:r>
      <w:proofErr w:type="spellStart"/>
      <w:r w:rsidRPr="00B03DF5">
        <w:rPr>
          <w:rFonts w:asciiTheme="minorHAnsi" w:hAnsiTheme="minorHAnsi" w:cs="Arial"/>
          <w:sz w:val="22"/>
          <w:szCs w:val="22"/>
        </w:rPr>
        <w:t>Opioid</w:t>
      </w:r>
      <w:proofErr w:type="spellEnd"/>
      <w:r w:rsidRPr="00B03DF5">
        <w:rPr>
          <w:rFonts w:asciiTheme="minorHAnsi" w:hAnsiTheme="minorHAnsi" w:cs="Arial"/>
          <w:sz w:val="22"/>
          <w:szCs w:val="22"/>
        </w:rPr>
        <w:t xml:space="preserve"> Free </w:t>
      </w:r>
      <w:proofErr w:type="spellStart"/>
      <w:r w:rsidRPr="00B03DF5">
        <w:rPr>
          <w:rFonts w:asciiTheme="minorHAnsi" w:hAnsiTheme="minorHAnsi" w:cs="Arial"/>
          <w:sz w:val="22"/>
          <w:szCs w:val="22"/>
        </w:rPr>
        <w:t>Anesthesia</w:t>
      </w:r>
      <w:proofErr w:type="spellEnd"/>
      <w:r w:rsidRPr="00B03DF5">
        <w:rPr>
          <w:rFonts w:asciiTheme="minorHAnsi" w:hAnsiTheme="minorHAnsi" w:cs="Arial"/>
          <w:sz w:val="22"/>
          <w:szCs w:val="22"/>
        </w:rPr>
        <w:t>)</w:t>
      </w:r>
    </w:p>
    <w:p w14:paraId="1AC54E61" w14:textId="77777777" w:rsidR="00C101DD" w:rsidRPr="00D8586C" w:rsidRDefault="00C101DD" w:rsidP="00C101DD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8586C">
        <w:rPr>
          <w:rFonts w:asciiTheme="minorHAnsi" w:hAnsiTheme="minorHAnsi" w:cs="Arial"/>
          <w:b/>
          <w:sz w:val="22"/>
          <w:szCs w:val="22"/>
        </w:rPr>
        <w:t>- Drai</w:t>
      </w:r>
      <w:r>
        <w:rPr>
          <w:rFonts w:asciiTheme="minorHAnsi" w:hAnsiTheme="minorHAnsi" w:cs="Arial"/>
          <w:b/>
          <w:sz w:val="22"/>
          <w:szCs w:val="22"/>
        </w:rPr>
        <w:t>nage :</w:t>
      </w:r>
    </w:p>
    <w:p w14:paraId="1E5CA453" w14:textId="77777777" w:rsidR="004B0933" w:rsidRDefault="004B0933" w:rsidP="00C101D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 drainage </w:t>
      </w:r>
      <w:r w:rsidR="00B03DF5">
        <w:rPr>
          <w:rFonts w:asciiTheme="minorHAnsi" w:hAnsiTheme="minorHAnsi" w:cs="Arial"/>
          <w:sz w:val="22"/>
          <w:szCs w:val="22"/>
        </w:rPr>
        <w:t xml:space="preserve">des gouttières </w:t>
      </w:r>
      <w:proofErr w:type="spellStart"/>
      <w:r w:rsidR="00B03DF5">
        <w:rPr>
          <w:rFonts w:asciiTheme="minorHAnsi" w:hAnsiTheme="minorHAnsi" w:cs="Arial"/>
          <w:sz w:val="22"/>
          <w:szCs w:val="22"/>
        </w:rPr>
        <w:t>jugulocarotidiennes</w:t>
      </w:r>
      <w:proofErr w:type="spellEnd"/>
      <w:r w:rsidR="00B03DF5">
        <w:rPr>
          <w:rFonts w:asciiTheme="minorHAnsi" w:hAnsiTheme="minorHAnsi" w:cs="Arial"/>
          <w:sz w:val="22"/>
          <w:szCs w:val="22"/>
        </w:rPr>
        <w:t xml:space="preserve"> est recommandé</w:t>
      </w:r>
      <w:r>
        <w:rPr>
          <w:rFonts w:asciiTheme="minorHAnsi" w:hAnsiTheme="minorHAnsi" w:cs="Arial"/>
          <w:sz w:val="22"/>
          <w:szCs w:val="22"/>
        </w:rPr>
        <w:t xml:space="preserve">. En postopératoire l’ablation </w:t>
      </w:r>
      <w:r w:rsidR="00207B88">
        <w:rPr>
          <w:rFonts w:asciiTheme="minorHAnsi" w:hAnsiTheme="minorHAnsi" w:cs="Arial"/>
          <w:sz w:val="22"/>
          <w:szCs w:val="22"/>
        </w:rPr>
        <w:t>de ce drain</w:t>
      </w:r>
      <w:r>
        <w:rPr>
          <w:rFonts w:asciiTheme="minorHAnsi" w:hAnsiTheme="minorHAnsi" w:cs="Arial"/>
          <w:sz w:val="22"/>
          <w:szCs w:val="22"/>
        </w:rPr>
        <w:t xml:space="preserve"> doit être envisagée pour un débit </w:t>
      </w:r>
      <w:r w:rsidR="00207B88">
        <w:rPr>
          <w:rFonts w:asciiTheme="minorHAnsi" w:hAnsiTheme="minorHAnsi" w:cs="Arial"/>
          <w:sz w:val="22"/>
          <w:szCs w:val="22"/>
        </w:rPr>
        <w:t xml:space="preserve">quotidien </w:t>
      </w:r>
      <w:r w:rsidRPr="0008443C">
        <w:rPr>
          <w:rFonts w:ascii="MS Gothic" w:eastAsia="MS Gothic"/>
          <w:color w:val="000000"/>
        </w:rPr>
        <w:t>≤</w:t>
      </w:r>
      <w:r w:rsidR="00B03DF5">
        <w:rPr>
          <w:rFonts w:asciiTheme="minorHAnsi" w:eastAsia="MS Gothic" w:hAnsiTheme="minorHAnsi"/>
          <w:color w:val="000000"/>
        </w:rPr>
        <w:t>20</w:t>
      </w:r>
      <w:r w:rsidR="00EF1ED8" w:rsidRPr="004B0933">
        <w:rPr>
          <w:rFonts w:asciiTheme="minorHAnsi" w:eastAsia="MS Gothic" w:hAnsiTheme="minorHAnsi"/>
          <w:color w:val="000000"/>
        </w:rPr>
        <w:t xml:space="preserve"> </w:t>
      </w:r>
      <w:r w:rsidRPr="004B0933">
        <w:rPr>
          <w:rFonts w:asciiTheme="minorHAnsi" w:eastAsia="MS Gothic" w:hAnsiTheme="minorHAnsi"/>
          <w:color w:val="000000"/>
        </w:rPr>
        <w:t>ml</w:t>
      </w:r>
      <w:r w:rsidR="00EF1ED8">
        <w:rPr>
          <w:rFonts w:asciiTheme="minorHAnsi" w:eastAsia="MS Gothic" w:hAnsiTheme="minorHAnsi"/>
          <w:color w:val="000000"/>
        </w:rPr>
        <w:t xml:space="preserve"> sans caractère suspect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6318C9C2" w14:textId="77777777" w:rsidR="00B03DF5" w:rsidRPr="00B03DF5" w:rsidRDefault="00B03DF5" w:rsidP="00B03DF5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03DF5">
        <w:rPr>
          <w:rFonts w:asciiTheme="minorHAnsi" w:hAnsiTheme="minorHAnsi" w:cs="Arial"/>
          <w:b/>
          <w:sz w:val="22"/>
          <w:szCs w:val="22"/>
        </w:rPr>
        <w:t xml:space="preserve">- Sonde nasogastrique : </w:t>
      </w:r>
    </w:p>
    <w:p w14:paraId="49010DDD" w14:textId="546ACF0B" w:rsidR="00B03DF5" w:rsidRPr="00B03DF5" w:rsidRDefault="00B03DF5" w:rsidP="00B03DF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03DF5">
        <w:rPr>
          <w:rFonts w:asciiTheme="minorHAnsi" w:hAnsiTheme="minorHAnsi" w:cs="Arial"/>
          <w:sz w:val="22"/>
          <w:szCs w:val="22"/>
        </w:rPr>
        <w:t xml:space="preserve">Elle ne peut être </w:t>
      </w:r>
      <w:r w:rsidR="0044492E" w:rsidRPr="00B03DF5">
        <w:rPr>
          <w:rFonts w:asciiTheme="minorHAnsi" w:hAnsiTheme="minorHAnsi" w:cs="Arial"/>
          <w:sz w:val="22"/>
          <w:szCs w:val="22"/>
        </w:rPr>
        <w:t>évité</w:t>
      </w:r>
      <w:r w:rsidR="0044492E">
        <w:rPr>
          <w:rFonts w:asciiTheme="minorHAnsi" w:hAnsiTheme="minorHAnsi" w:cs="Arial"/>
          <w:sz w:val="22"/>
          <w:szCs w:val="22"/>
        </w:rPr>
        <w:t>e</w:t>
      </w:r>
      <w:r w:rsidRPr="00B03DF5">
        <w:rPr>
          <w:rFonts w:asciiTheme="minorHAnsi" w:hAnsiTheme="minorHAnsi" w:cs="Arial"/>
          <w:sz w:val="22"/>
          <w:szCs w:val="22"/>
        </w:rPr>
        <w:t xml:space="preserve"> en </w:t>
      </w:r>
      <w:r w:rsidR="0044492E">
        <w:rPr>
          <w:rFonts w:asciiTheme="minorHAnsi" w:hAnsiTheme="minorHAnsi" w:cs="Arial"/>
          <w:sz w:val="22"/>
          <w:szCs w:val="22"/>
        </w:rPr>
        <w:t>chirurgie carcinologique ORL</w:t>
      </w:r>
      <w:r w:rsidRPr="00B03DF5">
        <w:rPr>
          <w:rFonts w:asciiTheme="minorHAnsi" w:hAnsiTheme="minorHAnsi" w:cs="Arial"/>
          <w:sz w:val="22"/>
          <w:szCs w:val="22"/>
        </w:rPr>
        <w:t xml:space="preserve"> mais l’objectif sera de la </w:t>
      </w:r>
      <w:r w:rsidR="0058789C">
        <w:rPr>
          <w:rFonts w:asciiTheme="minorHAnsi" w:hAnsiTheme="minorHAnsi" w:cs="Arial"/>
          <w:sz w:val="22"/>
          <w:szCs w:val="22"/>
        </w:rPr>
        <w:t xml:space="preserve">retirer </w:t>
      </w:r>
      <w:r w:rsidRPr="00B03DF5">
        <w:rPr>
          <w:rFonts w:asciiTheme="minorHAnsi" w:hAnsiTheme="minorHAnsi" w:cs="Arial"/>
          <w:sz w:val="22"/>
          <w:szCs w:val="22"/>
        </w:rPr>
        <w:t>le plus rapidement possible</w:t>
      </w:r>
      <w:r w:rsidR="0044492E">
        <w:rPr>
          <w:rFonts w:asciiTheme="minorHAnsi" w:hAnsiTheme="minorHAnsi" w:cs="Arial"/>
          <w:sz w:val="22"/>
          <w:szCs w:val="22"/>
        </w:rPr>
        <w:t xml:space="preserve"> selon les règles de bonne pratique et le contexte du patient (antécédent de radiothérapie de la sphère ORL)</w:t>
      </w:r>
    </w:p>
    <w:p w14:paraId="487DB0D3" w14:textId="77777777" w:rsidR="00B03DF5" w:rsidRPr="00D8586C" w:rsidRDefault="00B03DF5" w:rsidP="00C101D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F56AD1" w14:textId="77777777" w:rsidR="00ED4B8A" w:rsidRPr="00D23560" w:rsidRDefault="00ED4B8A" w:rsidP="00ED4B8A">
      <w:pPr>
        <w:pStyle w:val="En-tte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b/>
          <w:bCs/>
          <w:i/>
          <w:sz w:val="28"/>
          <w:szCs w:val="22"/>
          <w:u w:val="single"/>
        </w:rPr>
      </w:pPr>
      <w:r>
        <w:rPr>
          <w:rFonts w:asciiTheme="minorHAnsi" w:hAnsiTheme="minorHAnsi" w:cs="Arial"/>
          <w:b/>
          <w:bCs/>
          <w:i/>
          <w:sz w:val="28"/>
          <w:szCs w:val="22"/>
          <w:u w:val="single"/>
        </w:rPr>
        <w:t>Période post</w:t>
      </w:r>
      <w:r w:rsidRPr="00D23560">
        <w:rPr>
          <w:rFonts w:asciiTheme="minorHAnsi" w:hAnsiTheme="minorHAnsi" w:cs="Arial"/>
          <w:b/>
          <w:bCs/>
          <w:i/>
          <w:sz w:val="28"/>
          <w:szCs w:val="22"/>
          <w:u w:val="single"/>
        </w:rPr>
        <w:t xml:space="preserve"> opératoire</w:t>
      </w:r>
    </w:p>
    <w:p w14:paraId="1A0F9770" w14:textId="77777777" w:rsidR="003B65D4" w:rsidRDefault="00541EBA" w:rsidP="00C101DD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80600">
        <w:rPr>
          <w:rFonts w:asciiTheme="minorHAnsi" w:hAnsiTheme="minorHAnsi" w:cs="Arial"/>
          <w:bCs/>
          <w:sz w:val="22"/>
          <w:szCs w:val="22"/>
        </w:rPr>
        <w:t>Elle se déroule</w:t>
      </w:r>
      <w:r w:rsidR="00B03DF5">
        <w:rPr>
          <w:rFonts w:asciiTheme="minorHAnsi" w:hAnsiTheme="minorHAnsi" w:cs="Arial"/>
          <w:bCs/>
          <w:sz w:val="22"/>
          <w:szCs w:val="22"/>
        </w:rPr>
        <w:t xml:space="preserve"> idéalement</w:t>
      </w:r>
      <w:r w:rsidRPr="00080600">
        <w:rPr>
          <w:rFonts w:asciiTheme="minorHAnsi" w:hAnsiTheme="minorHAnsi" w:cs="Arial"/>
          <w:bCs/>
          <w:sz w:val="22"/>
          <w:szCs w:val="22"/>
        </w:rPr>
        <w:t xml:space="preserve"> initialement en unité de Soins Continus, </w:t>
      </w:r>
      <w:r w:rsidR="00B03DF5">
        <w:rPr>
          <w:rFonts w:asciiTheme="minorHAnsi" w:hAnsiTheme="minorHAnsi" w:cs="Arial"/>
          <w:bCs/>
          <w:sz w:val="22"/>
          <w:szCs w:val="22"/>
        </w:rPr>
        <w:t>en cas de trachéotomie</w:t>
      </w:r>
      <w:r w:rsidRPr="00080600">
        <w:rPr>
          <w:rFonts w:asciiTheme="minorHAnsi" w:hAnsiTheme="minorHAnsi" w:cs="Arial"/>
          <w:bCs/>
          <w:sz w:val="22"/>
          <w:szCs w:val="22"/>
        </w:rPr>
        <w:t>.</w:t>
      </w:r>
    </w:p>
    <w:p w14:paraId="6331706A" w14:textId="77777777" w:rsidR="00981321" w:rsidRPr="00D8586C" w:rsidRDefault="0044492E" w:rsidP="00981321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 Apport en oxygène</w:t>
      </w:r>
      <w:r w:rsidR="00981321">
        <w:rPr>
          <w:rFonts w:asciiTheme="minorHAnsi" w:hAnsiTheme="minorHAnsi" w:cs="Arial"/>
          <w:b/>
          <w:sz w:val="22"/>
          <w:szCs w:val="22"/>
        </w:rPr>
        <w:t>:</w:t>
      </w:r>
      <w:r w:rsidR="00981321" w:rsidRPr="00D8586C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7AB26C58" w14:textId="77777777" w:rsidR="00981321" w:rsidRPr="00D8586C" w:rsidRDefault="00981321" w:rsidP="00981321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 nécessaire, d</w:t>
      </w:r>
      <w:r w:rsidRPr="00D8586C">
        <w:rPr>
          <w:rFonts w:asciiTheme="minorHAnsi" w:hAnsiTheme="minorHAnsi" w:cs="Arial"/>
          <w:sz w:val="22"/>
          <w:szCs w:val="22"/>
        </w:rPr>
        <w:t xml:space="preserve">e </w:t>
      </w:r>
      <w:r>
        <w:rPr>
          <w:rFonts w:asciiTheme="minorHAnsi" w:hAnsiTheme="minorHAnsi" w:cs="Arial"/>
          <w:sz w:val="22"/>
          <w:szCs w:val="22"/>
        </w:rPr>
        <w:t xml:space="preserve">l’oxygène sera administré de </w:t>
      </w:r>
      <w:r w:rsidRPr="00D8586C">
        <w:rPr>
          <w:rFonts w:asciiTheme="minorHAnsi" w:hAnsiTheme="minorHAnsi" w:cs="Arial"/>
          <w:sz w:val="22"/>
          <w:szCs w:val="22"/>
        </w:rPr>
        <w:t xml:space="preserve">façon à obtenir une </w:t>
      </w:r>
      <w:r>
        <w:rPr>
          <w:rFonts w:asciiTheme="minorHAnsi" w:hAnsiTheme="minorHAnsi" w:cs="Arial"/>
          <w:sz w:val="22"/>
          <w:szCs w:val="22"/>
        </w:rPr>
        <w:t>S</w:t>
      </w:r>
      <w:r w:rsidRPr="00D8586C">
        <w:rPr>
          <w:rFonts w:asciiTheme="minorHAnsi" w:hAnsiTheme="minorHAnsi" w:cs="Arial"/>
          <w:sz w:val="22"/>
          <w:szCs w:val="22"/>
        </w:rPr>
        <w:t>pO2 supérieure à 96%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14:paraId="29F36401" w14:textId="77777777" w:rsidR="00C101DD" w:rsidRPr="00D8586C" w:rsidRDefault="00C101DD" w:rsidP="00C101DD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Apport nutritionnel </w:t>
      </w:r>
      <w:proofErr w:type="spellStart"/>
      <w:r w:rsidR="0044492E">
        <w:rPr>
          <w:rFonts w:asciiTheme="minorHAnsi" w:hAnsiTheme="minorHAnsi" w:cs="Arial"/>
          <w:b/>
          <w:sz w:val="22"/>
          <w:szCs w:val="22"/>
        </w:rPr>
        <w:t>entéral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: </w:t>
      </w:r>
    </w:p>
    <w:p w14:paraId="795053E6" w14:textId="77777777" w:rsidR="00C101DD" w:rsidRDefault="0044492E" w:rsidP="00C101D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Selon l’avis d’un diététicien, notamment pour palier au risque de syndrome de renutrition inappropriée. </w:t>
      </w:r>
    </w:p>
    <w:p w14:paraId="19AFA115" w14:textId="77777777" w:rsidR="00C101DD" w:rsidRPr="00B5106C" w:rsidRDefault="00467796" w:rsidP="00C101D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 </w:t>
      </w:r>
      <w:r w:rsidR="0044492E">
        <w:rPr>
          <w:rFonts w:asciiTheme="minorHAnsi" w:hAnsiTheme="minorHAnsi" w:cs="Arial"/>
          <w:sz w:val="22"/>
          <w:szCs w:val="22"/>
        </w:rPr>
        <w:t>délai de reprise alimentaire per os</w:t>
      </w:r>
      <w:r w:rsidR="00C101DD" w:rsidRPr="00B5106C">
        <w:rPr>
          <w:rFonts w:asciiTheme="minorHAnsi" w:hAnsiTheme="minorHAnsi" w:cs="Arial"/>
          <w:sz w:val="22"/>
          <w:szCs w:val="22"/>
        </w:rPr>
        <w:t xml:space="preserve"> </w:t>
      </w:r>
      <w:r w:rsidR="008D79C0">
        <w:rPr>
          <w:rFonts w:asciiTheme="minorHAnsi" w:hAnsiTheme="minorHAnsi" w:cs="Arial"/>
          <w:sz w:val="22"/>
          <w:szCs w:val="22"/>
        </w:rPr>
        <w:t xml:space="preserve">est laissé à la discrétion de l’équipe médicale </w:t>
      </w:r>
      <w:r w:rsidR="0044492E">
        <w:rPr>
          <w:rFonts w:asciiTheme="minorHAnsi" w:hAnsiTheme="minorHAnsi" w:cs="Arial"/>
          <w:sz w:val="22"/>
          <w:szCs w:val="22"/>
        </w:rPr>
        <w:t>en fonction du geste chirurgical réalisé et des antécédents de radiothérapie du patient.</w:t>
      </w:r>
    </w:p>
    <w:p w14:paraId="01C3664B" w14:textId="77777777" w:rsidR="00C101DD" w:rsidRDefault="00C101DD" w:rsidP="00C101DD">
      <w:pPr>
        <w:spacing w:line="360" w:lineRule="auto"/>
        <w:jc w:val="center"/>
        <w:rPr>
          <w:rStyle w:val="Rfrenceintense"/>
          <w:rFonts w:asciiTheme="minorHAnsi" w:hAnsiTheme="minorHAnsi"/>
          <w:bCs/>
        </w:rPr>
      </w:pPr>
    </w:p>
    <w:p w14:paraId="4037FF8C" w14:textId="77777777" w:rsidR="00C101DD" w:rsidRPr="00D8586C" w:rsidRDefault="00C101DD" w:rsidP="00C101DD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3F536F76" w14:textId="77777777" w:rsidR="00C101DD" w:rsidRDefault="00C101DD" w:rsidP="00C101DD"/>
    <w:p w14:paraId="7EE7C4ED" w14:textId="77777777" w:rsidR="00D23560" w:rsidRDefault="00D23560"/>
    <w:sectPr w:rsidR="00D23560" w:rsidSect="00D235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244D" w14:textId="77777777" w:rsidR="00490D1E" w:rsidRDefault="00490D1E">
      <w:r>
        <w:separator/>
      </w:r>
    </w:p>
  </w:endnote>
  <w:endnote w:type="continuationSeparator" w:id="0">
    <w:p w14:paraId="24B95F9C" w14:textId="77777777" w:rsidR="00490D1E" w:rsidRDefault="0049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3179" w14:textId="26C6A6EC" w:rsidR="00ED4B8A" w:rsidRPr="00B04E62" w:rsidRDefault="00ED4B8A" w:rsidP="00ED4B8A">
    <w:pPr>
      <w:pStyle w:val="Pieddepage"/>
      <w:jc w:val="right"/>
      <w:rPr>
        <w:rFonts w:ascii="Arial Black" w:hAnsi="Arial Black"/>
        <w:sz w:val="18"/>
      </w:rPr>
    </w:pPr>
    <w:r>
      <w:rPr>
        <w:rFonts w:ascii="Arial Black" w:hAnsi="Arial Black"/>
        <w:sz w:val="18"/>
      </w:rPr>
      <w:t xml:space="preserve">Version </w:t>
    </w:r>
    <w:r w:rsidR="004A1AED">
      <w:rPr>
        <w:rFonts w:ascii="Arial Black" w:hAnsi="Arial Black"/>
        <w:sz w:val="18"/>
      </w:rPr>
      <w:t>18 octobre</w:t>
    </w:r>
    <w:r w:rsidR="00276A45">
      <w:rPr>
        <w:rFonts w:ascii="Arial Black" w:hAnsi="Arial Black"/>
        <w:sz w:val="18"/>
      </w:rPr>
      <w:t xml:space="preserve"> 202</w:t>
    </w:r>
    <w:r w:rsidR="004A1AED">
      <w:rPr>
        <w:rFonts w:ascii="Arial Black" w:hAnsi="Arial Black"/>
        <w:sz w:val="18"/>
      </w:rPr>
      <w:t>2</w:t>
    </w:r>
    <w:r>
      <w:rPr>
        <w:rFonts w:ascii="Arial Black" w:hAnsi="Arial Black"/>
        <w:sz w:val="18"/>
      </w:rPr>
      <w:t xml:space="preserve"> </w:t>
    </w:r>
  </w:p>
  <w:p w14:paraId="73F29205" w14:textId="77777777" w:rsidR="00467796" w:rsidRPr="00FE4BDE" w:rsidRDefault="00467796" w:rsidP="00EC6A37">
    <w:pPr>
      <w:pStyle w:val="Pieddepage"/>
      <w:tabs>
        <w:tab w:val="clear" w:pos="4536"/>
        <w:tab w:val="clear" w:pos="9072"/>
        <w:tab w:val="left" w:pos="5529"/>
        <w:tab w:val="right" w:pos="10065"/>
      </w:tabs>
      <w:ind w:right="-285"/>
    </w:pPr>
    <w:r>
      <w:rPr>
        <w:noProof/>
      </w:rPr>
      <w:drawing>
        <wp:inline distT="0" distB="0" distL="0" distR="0" wp14:anchorId="23300EDE" wp14:editId="05B7250E">
          <wp:extent cx="366516" cy="344006"/>
          <wp:effectExtent l="0" t="0" r="0" b="1206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79" cy="34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20E0" w14:textId="77777777" w:rsidR="004A1AED" w:rsidRPr="00B04E62" w:rsidRDefault="004A1AED" w:rsidP="004A1AED">
    <w:pPr>
      <w:pStyle w:val="Pieddepage"/>
      <w:jc w:val="right"/>
      <w:rPr>
        <w:rFonts w:ascii="Arial Black" w:hAnsi="Arial Black"/>
        <w:sz w:val="18"/>
      </w:rPr>
    </w:pPr>
    <w:r>
      <w:rPr>
        <w:rFonts w:ascii="Arial Black" w:hAnsi="Arial Black"/>
        <w:sz w:val="18"/>
      </w:rPr>
      <w:t xml:space="preserve">Version 18 octobre 2022 </w:t>
    </w:r>
  </w:p>
  <w:p w14:paraId="0E88ED89" w14:textId="77777777" w:rsidR="00467796" w:rsidRPr="00EC6A37" w:rsidRDefault="00467796" w:rsidP="00EC6A37">
    <w:pPr>
      <w:pStyle w:val="Pieddepage"/>
      <w:tabs>
        <w:tab w:val="clear" w:pos="4536"/>
        <w:tab w:val="clear" w:pos="9072"/>
        <w:tab w:val="left" w:pos="5529"/>
        <w:tab w:val="right" w:pos="10065"/>
      </w:tabs>
      <w:ind w:right="-285"/>
    </w:pPr>
    <w:r>
      <w:rPr>
        <w:noProof/>
      </w:rPr>
      <w:drawing>
        <wp:inline distT="0" distB="0" distL="0" distR="0" wp14:anchorId="0B616046" wp14:editId="31B725E3">
          <wp:extent cx="366516" cy="344006"/>
          <wp:effectExtent l="0" t="0" r="0" b="1206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79" cy="34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7FD6" w14:textId="77777777" w:rsidR="00490D1E" w:rsidRDefault="00490D1E">
      <w:r>
        <w:separator/>
      </w:r>
    </w:p>
  </w:footnote>
  <w:footnote w:type="continuationSeparator" w:id="0">
    <w:p w14:paraId="7DE435C7" w14:textId="77777777" w:rsidR="00490D1E" w:rsidRDefault="0049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0744" w14:textId="77777777" w:rsidR="00467796" w:rsidRDefault="005A70D6" w:rsidP="00D2356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6779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CDA101" w14:textId="77777777" w:rsidR="00467796" w:rsidRDefault="00467796" w:rsidP="00D2356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DF5B" w14:textId="77777777" w:rsidR="00467796" w:rsidRDefault="005A70D6" w:rsidP="00D2356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6779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F134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1358E49" w14:textId="77777777" w:rsidR="00467796" w:rsidRPr="002D44D8" w:rsidRDefault="00467796" w:rsidP="00D23560">
    <w:pPr>
      <w:pStyle w:val="En-tte"/>
      <w:tabs>
        <w:tab w:val="clear" w:pos="9072"/>
        <w:tab w:val="right" w:pos="9923"/>
      </w:tabs>
      <w:ind w:right="360"/>
      <w:rPr>
        <w:sz w:val="16"/>
        <w:szCs w:val="32"/>
      </w:rPr>
    </w:pPr>
    <w:r>
      <w:rPr>
        <w:rFonts w:ascii="Comic Sans MS" w:hAnsi="Comic Sans MS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730D" w14:textId="77777777" w:rsidR="00467796" w:rsidRDefault="00467796" w:rsidP="00D23560">
    <w:pPr>
      <w:pStyle w:val="En-tte"/>
      <w:jc w:val="center"/>
    </w:pPr>
    <w:r>
      <w:rPr>
        <w:noProof/>
      </w:rPr>
      <w:drawing>
        <wp:inline distT="0" distB="0" distL="0" distR="0" wp14:anchorId="5E154BB9" wp14:editId="7206D68A">
          <wp:extent cx="1206500" cy="1144270"/>
          <wp:effectExtent l="0" t="0" r="1270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376"/>
    <w:multiLevelType w:val="hybridMultilevel"/>
    <w:tmpl w:val="CE22A2E6"/>
    <w:lvl w:ilvl="0" w:tplc="C20E4AD4">
      <w:start w:val="1"/>
      <w:numFmt w:val="upperRoman"/>
      <w:pStyle w:val="Titre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365F9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C07DB0"/>
    <w:multiLevelType w:val="hybridMultilevel"/>
    <w:tmpl w:val="B4CC8646"/>
    <w:lvl w:ilvl="0" w:tplc="9B00B83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6CF3"/>
    <w:multiLevelType w:val="hybridMultilevel"/>
    <w:tmpl w:val="EAF41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188"/>
    <w:multiLevelType w:val="hybridMultilevel"/>
    <w:tmpl w:val="786C26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BFB"/>
    <w:multiLevelType w:val="hybridMultilevel"/>
    <w:tmpl w:val="208289B6"/>
    <w:lvl w:ilvl="0" w:tplc="57189F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52C28"/>
    <w:multiLevelType w:val="hybridMultilevel"/>
    <w:tmpl w:val="461AA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2D5C"/>
    <w:multiLevelType w:val="hybridMultilevel"/>
    <w:tmpl w:val="3CD630AA"/>
    <w:lvl w:ilvl="0" w:tplc="5E1E24F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250F4"/>
    <w:multiLevelType w:val="hybridMultilevel"/>
    <w:tmpl w:val="F88241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B4CA2"/>
    <w:multiLevelType w:val="hybridMultilevel"/>
    <w:tmpl w:val="283AC7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28766">
    <w:abstractNumId w:val="2"/>
  </w:num>
  <w:num w:numId="2" w16cid:durableId="400907177">
    <w:abstractNumId w:val="0"/>
  </w:num>
  <w:num w:numId="3" w16cid:durableId="828207366">
    <w:abstractNumId w:val="7"/>
  </w:num>
  <w:num w:numId="4" w16cid:durableId="732236368">
    <w:abstractNumId w:val="8"/>
  </w:num>
  <w:num w:numId="5" w16cid:durableId="507599089">
    <w:abstractNumId w:val="5"/>
  </w:num>
  <w:num w:numId="6" w16cid:durableId="99953301">
    <w:abstractNumId w:val="3"/>
  </w:num>
  <w:num w:numId="7" w16cid:durableId="400519845">
    <w:abstractNumId w:val="6"/>
  </w:num>
  <w:num w:numId="8" w16cid:durableId="132142945">
    <w:abstractNumId w:val="1"/>
  </w:num>
  <w:num w:numId="9" w16cid:durableId="1461338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DD"/>
    <w:rsid w:val="00030682"/>
    <w:rsid w:val="000361F7"/>
    <w:rsid w:val="00071E7C"/>
    <w:rsid w:val="00080600"/>
    <w:rsid w:val="000833B2"/>
    <w:rsid w:val="00093637"/>
    <w:rsid w:val="0009595F"/>
    <w:rsid w:val="000B5CED"/>
    <w:rsid w:val="000E250C"/>
    <w:rsid w:val="0010357D"/>
    <w:rsid w:val="00115079"/>
    <w:rsid w:val="00122C3C"/>
    <w:rsid w:val="0014090A"/>
    <w:rsid w:val="001411A0"/>
    <w:rsid w:val="00173F8F"/>
    <w:rsid w:val="00182FFA"/>
    <w:rsid w:val="001902E4"/>
    <w:rsid w:val="001B2947"/>
    <w:rsid w:val="00207B88"/>
    <w:rsid w:val="00234808"/>
    <w:rsid w:val="002508A1"/>
    <w:rsid w:val="00276A45"/>
    <w:rsid w:val="002B620B"/>
    <w:rsid w:val="002D0EC0"/>
    <w:rsid w:val="00304883"/>
    <w:rsid w:val="003448AD"/>
    <w:rsid w:val="00375D53"/>
    <w:rsid w:val="003B38BC"/>
    <w:rsid w:val="003B519F"/>
    <w:rsid w:val="003B65D4"/>
    <w:rsid w:val="003D1E21"/>
    <w:rsid w:val="003D5712"/>
    <w:rsid w:val="0044492E"/>
    <w:rsid w:val="00451D32"/>
    <w:rsid w:val="00467796"/>
    <w:rsid w:val="00490D1E"/>
    <w:rsid w:val="004A1AED"/>
    <w:rsid w:val="004B0933"/>
    <w:rsid w:val="004D5028"/>
    <w:rsid w:val="004E2EA5"/>
    <w:rsid w:val="004F6DB6"/>
    <w:rsid w:val="00532A20"/>
    <w:rsid w:val="00541EBA"/>
    <w:rsid w:val="00557821"/>
    <w:rsid w:val="005822FA"/>
    <w:rsid w:val="0058789C"/>
    <w:rsid w:val="005A70D6"/>
    <w:rsid w:val="005E7596"/>
    <w:rsid w:val="006156C7"/>
    <w:rsid w:val="0063362D"/>
    <w:rsid w:val="00642A27"/>
    <w:rsid w:val="00642A82"/>
    <w:rsid w:val="007272F1"/>
    <w:rsid w:val="00781B23"/>
    <w:rsid w:val="007D5332"/>
    <w:rsid w:val="008C17CD"/>
    <w:rsid w:val="008D79C0"/>
    <w:rsid w:val="008E1182"/>
    <w:rsid w:val="008F316E"/>
    <w:rsid w:val="00930DCB"/>
    <w:rsid w:val="00964C59"/>
    <w:rsid w:val="00981321"/>
    <w:rsid w:val="009E13E7"/>
    <w:rsid w:val="009F134B"/>
    <w:rsid w:val="009F3D8A"/>
    <w:rsid w:val="00A160B1"/>
    <w:rsid w:val="00A41EFC"/>
    <w:rsid w:val="00A60ED5"/>
    <w:rsid w:val="00A67457"/>
    <w:rsid w:val="00B03DF5"/>
    <w:rsid w:val="00B35408"/>
    <w:rsid w:val="00BD2FC2"/>
    <w:rsid w:val="00BD5B5F"/>
    <w:rsid w:val="00BE30F1"/>
    <w:rsid w:val="00C101DD"/>
    <w:rsid w:val="00D05025"/>
    <w:rsid w:val="00D07A0A"/>
    <w:rsid w:val="00D17F18"/>
    <w:rsid w:val="00D23560"/>
    <w:rsid w:val="00D61C2E"/>
    <w:rsid w:val="00D844ED"/>
    <w:rsid w:val="00D95CDF"/>
    <w:rsid w:val="00DA1806"/>
    <w:rsid w:val="00DE6AF3"/>
    <w:rsid w:val="00E31ECE"/>
    <w:rsid w:val="00E40727"/>
    <w:rsid w:val="00E473DE"/>
    <w:rsid w:val="00EC6A37"/>
    <w:rsid w:val="00ED4B8A"/>
    <w:rsid w:val="00EF0A38"/>
    <w:rsid w:val="00EF18A4"/>
    <w:rsid w:val="00EF1ED8"/>
    <w:rsid w:val="00F511F6"/>
    <w:rsid w:val="00FD7302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7EC6A"/>
  <w15:docId w15:val="{97637CF8-0A93-4297-A550-B003198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D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DD"/>
    <w:pPr>
      <w:keepNext/>
      <w:numPr>
        <w:numId w:val="2"/>
      </w:numPr>
      <w:tabs>
        <w:tab w:val="left" w:pos="851"/>
      </w:tabs>
      <w:spacing w:before="240" w:after="60"/>
      <w:outlineLvl w:val="0"/>
    </w:pPr>
    <w:rPr>
      <w:rFonts w:asciiTheme="majorHAnsi" w:hAnsiTheme="majorHAnsi" w:cs="Arial"/>
      <w:b/>
      <w:bCs/>
      <w:kern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EF0A38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32"/>
    </w:rPr>
  </w:style>
  <w:style w:type="character" w:customStyle="1" w:styleId="Titre1Car">
    <w:name w:val="Titre 1 Car"/>
    <w:basedOn w:val="Policepardfaut"/>
    <w:link w:val="Titre1"/>
    <w:uiPriority w:val="9"/>
    <w:rsid w:val="00C101DD"/>
    <w:rPr>
      <w:rFonts w:asciiTheme="majorHAnsi" w:eastAsia="Times New Roman" w:hAnsiTheme="majorHAnsi" w:cs="Arial"/>
      <w:b/>
      <w:bCs/>
      <w:kern w:val="32"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C101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1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C101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1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C101DD"/>
    <w:rPr>
      <w:color w:val="0000FF"/>
      <w:u w:val="single"/>
    </w:rPr>
  </w:style>
  <w:style w:type="character" w:styleId="Numrodepage">
    <w:name w:val="page number"/>
    <w:basedOn w:val="Policepardfaut"/>
    <w:uiPriority w:val="99"/>
    <w:rsid w:val="00C101DD"/>
    <w:rPr>
      <w:rFonts w:cs="Times New Roman"/>
    </w:rPr>
  </w:style>
  <w:style w:type="character" w:styleId="Rfrenceintense">
    <w:name w:val="Intense Reference"/>
    <w:aliases w:val="Annexe"/>
    <w:basedOn w:val="Policepardfaut"/>
    <w:uiPriority w:val="68"/>
    <w:qFormat/>
    <w:rsid w:val="00C101DD"/>
    <w:rPr>
      <w:rFonts w:ascii="Times New Roman" w:hAnsi="Times New Roman"/>
      <w:b/>
      <w:smallCaps/>
      <w:color w:val="auto"/>
      <w:spacing w:val="5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D2356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paragraph" w:styleId="Corpsdetexte2">
    <w:name w:val="Body Text 2"/>
    <w:basedOn w:val="Normal"/>
    <w:link w:val="Corpsdetexte2Car"/>
    <w:rsid w:val="00D17F18"/>
    <w:pPr>
      <w:jc w:val="both"/>
    </w:pPr>
    <w:rPr>
      <w:sz w:val="16"/>
      <w:szCs w:val="16"/>
      <w:lang w:val="en-GB"/>
    </w:rPr>
  </w:style>
  <w:style w:type="character" w:customStyle="1" w:styleId="Corpsdetexte2Car">
    <w:name w:val="Corps de texte 2 Car"/>
    <w:basedOn w:val="Policepardfaut"/>
    <w:link w:val="Corpsdetexte2"/>
    <w:rsid w:val="00D17F18"/>
    <w:rPr>
      <w:rFonts w:ascii="Times New Roman" w:eastAsia="Times New Roman" w:hAnsi="Times New Roman" w:cs="Times New Roman"/>
      <w:sz w:val="16"/>
      <w:szCs w:val="16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A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A37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180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806"/>
  </w:style>
  <w:style w:type="character" w:customStyle="1" w:styleId="CommentaireCar">
    <w:name w:val="Commentaire Car"/>
    <w:basedOn w:val="Policepardfaut"/>
    <w:link w:val="Commentaire"/>
    <w:uiPriority w:val="99"/>
    <w:semiHidden/>
    <w:rsid w:val="00DA180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80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180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oInuuF1Zc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Clermont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kslim</dc:creator>
  <cp:lastModifiedBy>Karem Slim</cp:lastModifiedBy>
  <cp:revision>4</cp:revision>
  <cp:lastPrinted>2015-01-31T16:10:00Z</cp:lastPrinted>
  <dcterms:created xsi:type="dcterms:W3CDTF">2022-10-17T14:28:00Z</dcterms:created>
  <dcterms:modified xsi:type="dcterms:W3CDTF">2022-10-18T16:54:00Z</dcterms:modified>
</cp:coreProperties>
</file>